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晋江市市场监督管理局</w:t>
      </w:r>
    </w:p>
    <w:p>
      <w:pPr>
        <w:pStyle w:val="2"/>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行政处罚决定书</w:t>
      </w:r>
    </w:p>
    <w:p>
      <w:pPr>
        <w:tabs>
          <w:tab w:val="left" w:pos="2725"/>
        </w:tabs>
        <w:spacing w:beforeLines="50" w:afterLines="50" w:line="560" w:lineRule="exact"/>
        <w:jc w:val="center"/>
        <w:rPr>
          <w:rFonts w:ascii="仿宋" w:hAnsi="仿宋" w:eastAsia="仿宋" w:cs="仿宋"/>
          <w:sz w:val="32"/>
          <w:szCs w:val="32"/>
        </w:rPr>
      </w:pPr>
      <w:r>
        <w:rPr>
          <w:rFonts w:hint="eastAsia" w:ascii="仿宋" w:hAnsi="仿宋" w:eastAsia="仿宋" w:cs="仿宋"/>
          <w:sz w:val="32"/>
          <w:szCs w:val="32"/>
        </w:rPr>
        <w:t>晋市监处罚〔2024〕第19-116号</w:t>
      </w:r>
    </w:p>
    <w:p>
      <w:pPr>
        <w:spacing w:line="560" w:lineRule="exact"/>
        <w:rPr>
          <w:rFonts w:ascii="仿宋" w:hAnsi="仿宋" w:eastAsia="仿宋" w:cs="仿宋"/>
          <w:sz w:val="32"/>
          <w:szCs w:val="32"/>
        </w:rPr>
      </w:pPr>
      <w:r>
        <w:rPr>
          <w:rFonts w:hint="eastAsia" w:ascii="仿宋" w:hAnsi="仿宋" w:eastAsia="仿宋" w:cs="仿宋"/>
          <w:sz w:val="32"/>
          <w:szCs w:val="32"/>
        </w:rPr>
        <w:t>当事人：</w:t>
      </w:r>
      <w:r>
        <w:rPr>
          <w:rFonts w:hint="eastAsia" w:ascii="仿宋" w:hAnsi="仿宋" w:eastAsia="仿宋" w:cs="仿宋"/>
          <w:sz w:val="32"/>
          <w:szCs w:val="32"/>
          <w:u w:val="single"/>
        </w:rPr>
        <w:t>晋江市爱烨口腔诊所有限公司</w:t>
      </w:r>
      <w:r>
        <w:rPr>
          <w:rFonts w:hint="eastAsia" w:ascii="仿宋" w:hAnsi="仿宋" w:eastAsia="仿宋" w:cs="仿宋"/>
          <w:sz w:val="32"/>
          <w:szCs w:val="32"/>
        </w:rPr>
        <w:t xml:space="preserve"> </w:t>
      </w:r>
    </w:p>
    <w:p>
      <w:pPr>
        <w:spacing w:line="560" w:lineRule="exact"/>
        <w:rPr>
          <w:rFonts w:ascii="仿宋" w:hAnsi="仿宋" w:eastAsia="仿宋" w:cs="仿宋"/>
          <w:sz w:val="32"/>
          <w:szCs w:val="32"/>
        </w:rPr>
      </w:pPr>
      <w:r>
        <w:rPr>
          <w:rFonts w:hint="eastAsia" w:ascii="仿宋" w:hAnsi="仿宋" w:eastAsia="仿宋" w:cs="仿宋"/>
          <w:sz w:val="32"/>
          <w:szCs w:val="32"/>
        </w:rPr>
        <w:t>主体资格证照名称：</w:t>
      </w:r>
      <w:r>
        <w:rPr>
          <w:rFonts w:hint="eastAsia" w:ascii="仿宋" w:hAnsi="仿宋" w:eastAsia="仿宋" w:cs="仿宋"/>
          <w:sz w:val="32"/>
          <w:szCs w:val="32"/>
          <w:u w:val="single"/>
        </w:rPr>
        <w:t>营业执照</w:t>
      </w:r>
      <w:r>
        <w:rPr>
          <w:rFonts w:hint="eastAsia" w:ascii="仿宋" w:hAnsi="仿宋" w:eastAsia="仿宋" w:cs="仿宋"/>
          <w:sz w:val="32"/>
          <w:szCs w:val="32"/>
        </w:rPr>
        <w:t xml:space="preserve"> </w:t>
      </w:r>
    </w:p>
    <w:p>
      <w:pPr>
        <w:spacing w:line="560" w:lineRule="exact"/>
        <w:rPr>
          <w:rFonts w:ascii="仿宋" w:hAnsi="仿宋" w:eastAsia="仿宋" w:cs="仿宋"/>
          <w:sz w:val="32"/>
          <w:szCs w:val="32"/>
        </w:rPr>
      </w:pPr>
      <w:r>
        <w:rPr>
          <w:rFonts w:hint="eastAsia" w:ascii="仿宋" w:hAnsi="仿宋" w:eastAsia="仿宋" w:cs="仿宋"/>
          <w:sz w:val="32"/>
          <w:szCs w:val="32"/>
        </w:rPr>
        <w:t>统一社会信用代码：</w:t>
      </w:r>
      <w:r>
        <w:rPr>
          <w:rFonts w:hint="eastAsia" w:ascii="仿宋" w:hAnsi="仿宋" w:eastAsia="仿宋" w:cs="仿宋"/>
          <w:sz w:val="32"/>
          <w:szCs w:val="32"/>
          <w:u w:val="single"/>
        </w:rPr>
        <w:t>91350582MA8U2R7K1U</w:t>
      </w:r>
      <w:r>
        <w:rPr>
          <w:rFonts w:hint="eastAsia" w:ascii="仿宋" w:hAnsi="仿宋" w:eastAsia="仿宋" w:cs="仿宋"/>
          <w:sz w:val="32"/>
          <w:szCs w:val="32"/>
        </w:rPr>
        <w:t xml:space="preserve"> </w:t>
      </w:r>
    </w:p>
    <w:p>
      <w:pPr>
        <w:spacing w:line="560" w:lineRule="exact"/>
        <w:rPr>
          <w:rFonts w:ascii="仿宋" w:hAnsi="仿宋" w:eastAsia="仿宋" w:cs="仿宋"/>
          <w:sz w:val="32"/>
          <w:szCs w:val="32"/>
        </w:rPr>
      </w:pPr>
      <w:r>
        <w:rPr>
          <w:rFonts w:hint="eastAsia" w:ascii="仿宋" w:hAnsi="仿宋" w:eastAsia="仿宋" w:cs="仿宋"/>
          <w:sz w:val="32"/>
          <w:szCs w:val="32"/>
        </w:rPr>
        <w:t>住所（住址）：</w:t>
      </w:r>
      <w:r>
        <w:rPr>
          <w:rFonts w:hint="eastAsia" w:ascii="仿宋" w:hAnsi="仿宋" w:eastAsia="仿宋" w:cs="仿宋"/>
          <w:sz w:val="32"/>
          <w:szCs w:val="32"/>
          <w:u w:val="single"/>
        </w:rPr>
        <w:t>陈埭镇宫口村西区</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 xml:space="preserve"> </w:t>
      </w:r>
    </w:p>
    <w:p>
      <w:pPr>
        <w:spacing w:line="560" w:lineRule="exact"/>
        <w:rPr>
          <w:rFonts w:ascii="仿宋" w:hAnsi="仿宋" w:eastAsia="仿宋" w:cs="仿宋"/>
          <w:sz w:val="32"/>
          <w:szCs w:val="32"/>
        </w:rPr>
      </w:pPr>
      <w:r>
        <w:rPr>
          <w:rFonts w:hint="eastAsia" w:ascii="仿宋" w:hAnsi="仿宋" w:eastAsia="仿宋" w:cs="仿宋"/>
          <w:sz w:val="32"/>
          <w:szCs w:val="32"/>
        </w:rPr>
        <w:t>法定代表人（负责人、经营者）：</w:t>
      </w:r>
      <w:r>
        <w:rPr>
          <w:rFonts w:hint="eastAsia" w:ascii="仿宋" w:hAnsi="仿宋" w:eastAsia="仿宋" w:cs="仿宋"/>
          <w:sz w:val="32"/>
          <w:szCs w:val="32"/>
          <w:u w:val="single"/>
        </w:rPr>
        <w:t>翁榕</w:t>
      </w:r>
      <w:r>
        <w:rPr>
          <w:rFonts w:hint="eastAsia" w:ascii="仿宋" w:hAnsi="仿宋" w:eastAsia="仿宋" w:cs="仿宋"/>
          <w:sz w:val="32"/>
          <w:szCs w:val="32"/>
        </w:rPr>
        <w:t xml:space="preserve"> </w:t>
      </w:r>
    </w:p>
    <w:p>
      <w:pPr>
        <w:spacing w:line="560" w:lineRule="exact"/>
        <w:rPr>
          <w:rFonts w:hint="default" w:ascii="仿宋" w:hAnsi="仿宋" w:eastAsia="仿宋" w:cs="仿宋"/>
          <w:sz w:val="32"/>
          <w:szCs w:val="32"/>
          <w:lang w:val="en-US" w:eastAsia="zh-CN"/>
        </w:rPr>
      </w:pPr>
      <w:r>
        <w:rPr>
          <w:rFonts w:hint="eastAsia" w:ascii="仿宋" w:hAnsi="仿宋" w:eastAsia="仿宋" w:cs="仿宋"/>
          <w:sz w:val="32"/>
          <w:szCs w:val="32"/>
        </w:rPr>
        <w:t>身份证件号码：</w:t>
      </w:r>
      <w:r>
        <w:rPr>
          <w:rFonts w:hint="eastAsia" w:ascii="仿宋" w:hAnsi="仿宋" w:eastAsia="仿宋" w:cs="仿宋"/>
          <w:sz w:val="32"/>
          <w:szCs w:val="32"/>
          <w:u w:val="single"/>
        </w:rPr>
        <w:t>441424</w:t>
      </w:r>
      <w:r>
        <w:rPr>
          <w:rFonts w:hint="eastAsia" w:ascii="仿宋" w:hAnsi="仿宋" w:eastAsia="仿宋" w:cs="仿宋"/>
          <w:sz w:val="32"/>
          <w:szCs w:val="32"/>
          <w:u w:val="single"/>
          <w:lang w:val="en-US" w:eastAsia="zh-CN"/>
        </w:rPr>
        <w:t>************</w:t>
      </w:r>
    </w:p>
    <w:p>
      <w:pPr>
        <w:spacing w:line="560" w:lineRule="exact"/>
        <w:ind w:firstLine="640" w:firstLineChars="200"/>
        <w:rPr>
          <w:rFonts w:ascii="仿宋" w:hAnsi="仿宋" w:eastAsia="仿宋" w:cs="仿宋"/>
          <w:sz w:val="32"/>
          <w:szCs w:val="32"/>
          <w:u w:val="single"/>
        </w:rPr>
      </w:pPr>
      <w:r>
        <w:rPr>
          <w:rFonts w:hint="eastAsia" w:ascii="华文仿宋" w:hAnsi="华文仿宋" w:eastAsia="华文仿宋" w:cs="华文仿宋"/>
          <w:sz w:val="32"/>
          <w:szCs w:val="32"/>
          <w:u w:val="single"/>
        </w:rPr>
        <w:t>2024年8月30日，本局执法人员根据药品专项检查，依法对当事人位于晋江市陈埭镇宫口村的</w:t>
      </w:r>
      <w:r>
        <w:rPr>
          <w:rFonts w:hint="eastAsia" w:ascii="华文仿宋" w:hAnsi="华文仿宋" w:eastAsia="华文仿宋" w:cs="华文仿宋"/>
          <w:sz w:val="32"/>
          <w:szCs w:val="32"/>
          <w:u w:val="single"/>
          <w:lang w:eastAsia="zh-CN"/>
        </w:rPr>
        <w:t>经营场所</w:t>
      </w:r>
      <w:bookmarkStart w:id="2" w:name="_GoBack"/>
      <w:bookmarkEnd w:id="2"/>
      <w:r>
        <w:rPr>
          <w:rFonts w:hint="eastAsia" w:ascii="华文仿宋" w:hAnsi="华文仿宋" w:eastAsia="华文仿宋" w:cs="华文仿宋"/>
          <w:sz w:val="32"/>
          <w:szCs w:val="32"/>
          <w:u w:val="single"/>
        </w:rPr>
        <w:t>进行核查，现场该诊所负责人翁榕配合检查。当事人现场悬挂《营业执照》及《诊所备案凭证》，现场发现当事人诊所使用的“光固化玻璃离子水门汀（富士Ⅱ、LC）”随意堆放，执法人员检查该说明书（贮藏、保管方法：1、应避免置于日光直射、高温潮湿处，请在室温下保管。2、加强管理以防牙科从业人员之外的人员接触本品），当事人未按说明书上的贮存保管，当事人涉嫌违反了《医疗器械监督管理条例》第四十七条之规定，依法于2024年9月6日立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经查，</w:t>
      </w:r>
      <w:r>
        <w:rPr>
          <w:rFonts w:hint="eastAsia" w:ascii="仿宋" w:hAnsi="仿宋" w:eastAsia="仿宋" w:cs="仿宋"/>
          <w:sz w:val="32"/>
          <w:szCs w:val="32"/>
          <w:u w:val="single"/>
        </w:rPr>
        <w:t>当事人在持有《营业执照》、《诊所备案凭证》等有效合法证照经营口腔诊所服务。当事人诊所使用的“光固化玻璃离子水门汀（富士Ⅱ、</w:t>
      </w:r>
      <w:r>
        <w:rPr>
          <w:rFonts w:ascii="仿宋" w:hAnsi="仿宋" w:eastAsia="仿宋" w:cs="仿宋"/>
          <w:sz w:val="32"/>
          <w:szCs w:val="32"/>
          <w:u w:val="single"/>
        </w:rPr>
        <w:t>LC</w:t>
      </w:r>
      <w:r>
        <w:rPr>
          <w:rFonts w:hint="eastAsia" w:ascii="仿宋" w:hAnsi="仿宋" w:eastAsia="仿宋" w:cs="仿宋"/>
          <w:sz w:val="32"/>
          <w:szCs w:val="32"/>
          <w:u w:val="single"/>
        </w:rPr>
        <w:t>）”（型号</w:t>
      </w:r>
      <w:r>
        <w:rPr>
          <w:rFonts w:ascii="仿宋" w:hAnsi="仿宋" w:eastAsia="仿宋" w:cs="仿宋"/>
          <w:sz w:val="32"/>
          <w:szCs w:val="32"/>
          <w:u w:val="single"/>
        </w:rPr>
        <w:t>/</w:t>
      </w:r>
      <w:r>
        <w:rPr>
          <w:rFonts w:hint="eastAsia" w:ascii="仿宋" w:hAnsi="仿宋" w:eastAsia="仿宋" w:cs="仿宋"/>
          <w:sz w:val="32"/>
          <w:szCs w:val="32"/>
          <w:u w:val="single"/>
        </w:rPr>
        <w:t>规格：粉剂</w:t>
      </w:r>
      <w:r>
        <w:rPr>
          <w:rFonts w:ascii="仿宋" w:hAnsi="仿宋" w:eastAsia="仿宋" w:cs="仿宋"/>
          <w:sz w:val="32"/>
          <w:szCs w:val="32"/>
          <w:u w:val="single"/>
        </w:rPr>
        <w:t>15g</w:t>
      </w:r>
      <w:r>
        <w:rPr>
          <w:rFonts w:hint="eastAsia" w:ascii="仿宋" w:hAnsi="仿宋" w:eastAsia="仿宋" w:cs="仿宋"/>
          <w:sz w:val="32"/>
          <w:szCs w:val="32"/>
          <w:u w:val="single"/>
        </w:rPr>
        <w:t>、液剂</w:t>
      </w:r>
      <w:r>
        <w:rPr>
          <w:rFonts w:ascii="仿宋" w:hAnsi="仿宋" w:eastAsia="仿宋" w:cs="仿宋"/>
          <w:sz w:val="32"/>
          <w:szCs w:val="32"/>
          <w:u w:val="single"/>
        </w:rPr>
        <w:t>8g</w:t>
      </w:r>
      <w:r>
        <w:rPr>
          <w:rFonts w:hint="eastAsia" w:ascii="仿宋" w:hAnsi="仿宋" w:eastAsia="仿宋" w:cs="仿宋"/>
          <w:sz w:val="32"/>
          <w:szCs w:val="32"/>
          <w:u w:val="single"/>
        </w:rPr>
        <w:t>，生产日期：</w:t>
      </w:r>
      <w:r>
        <w:rPr>
          <w:rFonts w:ascii="仿宋" w:hAnsi="仿宋" w:eastAsia="仿宋" w:cs="仿宋"/>
          <w:sz w:val="32"/>
          <w:szCs w:val="32"/>
          <w:u w:val="single"/>
        </w:rPr>
        <w:t>2023</w:t>
      </w:r>
      <w:r>
        <w:rPr>
          <w:rFonts w:hint="eastAsia" w:ascii="仿宋" w:hAnsi="仿宋" w:eastAsia="仿宋" w:cs="仿宋"/>
          <w:sz w:val="32"/>
          <w:szCs w:val="32"/>
          <w:u w:val="single"/>
        </w:rPr>
        <w:t>年</w:t>
      </w:r>
      <w:r>
        <w:rPr>
          <w:rFonts w:ascii="仿宋" w:hAnsi="仿宋" w:eastAsia="仿宋" w:cs="仿宋"/>
          <w:sz w:val="32"/>
          <w:szCs w:val="32"/>
          <w:u w:val="single"/>
        </w:rPr>
        <w:t>8</w:t>
      </w:r>
      <w:r>
        <w:rPr>
          <w:rFonts w:hint="eastAsia" w:ascii="仿宋" w:hAnsi="仿宋" w:eastAsia="仿宋" w:cs="仿宋"/>
          <w:sz w:val="32"/>
          <w:szCs w:val="32"/>
          <w:u w:val="single"/>
        </w:rPr>
        <w:t>月</w:t>
      </w:r>
      <w:r>
        <w:rPr>
          <w:rFonts w:ascii="仿宋" w:hAnsi="仿宋" w:eastAsia="仿宋" w:cs="仿宋"/>
          <w:sz w:val="32"/>
          <w:szCs w:val="32"/>
          <w:u w:val="single"/>
        </w:rPr>
        <w:t>21</w:t>
      </w:r>
      <w:r>
        <w:rPr>
          <w:rFonts w:hint="eastAsia" w:ascii="仿宋" w:hAnsi="仿宋" w:eastAsia="仿宋" w:cs="仿宋"/>
          <w:sz w:val="32"/>
          <w:szCs w:val="32"/>
          <w:u w:val="single"/>
        </w:rPr>
        <w:t>日，到期日期：</w:t>
      </w:r>
      <w:r>
        <w:rPr>
          <w:rFonts w:ascii="仿宋" w:hAnsi="仿宋" w:eastAsia="仿宋" w:cs="仿宋"/>
          <w:sz w:val="32"/>
          <w:szCs w:val="32"/>
          <w:u w:val="single"/>
        </w:rPr>
        <w:t>2026</w:t>
      </w:r>
      <w:r>
        <w:rPr>
          <w:rFonts w:hint="eastAsia" w:ascii="仿宋" w:hAnsi="仿宋" w:eastAsia="仿宋" w:cs="仿宋"/>
          <w:sz w:val="32"/>
          <w:szCs w:val="32"/>
          <w:u w:val="single"/>
        </w:rPr>
        <w:t>年</w:t>
      </w:r>
      <w:r>
        <w:rPr>
          <w:rFonts w:ascii="仿宋" w:hAnsi="仿宋" w:eastAsia="仿宋" w:cs="仿宋"/>
          <w:sz w:val="32"/>
          <w:szCs w:val="32"/>
          <w:u w:val="single"/>
        </w:rPr>
        <w:t>8</w:t>
      </w:r>
      <w:r>
        <w:rPr>
          <w:rFonts w:hint="eastAsia" w:ascii="仿宋" w:hAnsi="仿宋" w:eastAsia="仿宋" w:cs="仿宋"/>
          <w:sz w:val="32"/>
          <w:szCs w:val="32"/>
          <w:u w:val="single"/>
        </w:rPr>
        <w:t>月</w:t>
      </w:r>
      <w:r>
        <w:rPr>
          <w:rFonts w:ascii="仿宋" w:hAnsi="仿宋" w:eastAsia="仿宋" w:cs="仿宋"/>
          <w:sz w:val="32"/>
          <w:szCs w:val="32"/>
          <w:u w:val="single"/>
        </w:rPr>
        <w:t>20</w:t>
      </w:r>
      <w:r>
        <w:rPr>
          <w:rFonts w:hint="eastAsia" w:ascii="仿宋" w:hAnsi="仿宋" w:eastAsia="仿宋" w:cs="仿宋"/>
          <w:sz w:val="32"/>
          <w:szCs w:val="32"/>
          <w:u w:val="single"/>
        </w:rPr>
        <w:t>日，医疗器械注册证编号：国械注进：</w:t>
      </w:r>
      <w:r>
        <w:rPr>
          <w:rFonts w:ascii="仿宋" w:hAnsi="仿宋" w:eastAsia="仿宋" w:cs="仿宋"/>
          <w:sz w:val="32"/>
          <w:szCs w:val="32"/>
          <w:u w:val="single"/>
        </w:rPr>
        <w:t>20153173654</w:t>
      </w:r>
      <w:r>
        <w:rPr>
          <w:rFonts w:hint="eastAsia" w:ascii="仿宋" w:hAnsi="仿宋" w:eastAsia="仿宋" w:cs="仿宋"/>
          <w:sz w:val="32"/>
          <w:szCs w:val="32"/>
          <w:u w:val="single"/>
        </w:rPr>
        <w:t xml:space="preserve">）随意堆放，未对该医疗器械加强管理，无法杜绝牙科从业人员之外的人员接触该医疗器械，当事人能提供上述医疗器械的合法来源，至案发时止，未造成危害后果。 </w:t>
      </w:r>
    </w:p>
    <w:p>
      <w:pPr>
        <w:spacing w:line="56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上述事实，主要有以下证据证明：</w:t>
      </w:r>
      <w:r>
        <w:rPr>
          <w:rFonts w:ascii="仿宋" w:hAnsi="仿宋" w:eastAsia="仿宋" w:cs="仿宋"/>
          <w:sz w:val="32"/>
          <w:szCs w:val="32"/>
          <w:u w:val="single"/>
        </w:rPr>
        <w:t>1</w:t>
      </w:r>
      <w:r>
        <w:rPr>
          <w:rFonts w:hint="eastAsia" w:ascii="仿宋" w:hAnsi="仿宋" w:eastAsia="仿宋" w:cs="仿宋"/>
          <w:sz w:val="32"/>
          <w:szCs w:val="32"/>
          <w:u w:val="single"/>
        </w:rPr>
        <w:t>、现场检查笔录、现场照片，证明案件来源及当事人违法行为的事实；</w:t>
      </w:r>
    </w:p>
    <w:p>
      <w:pPr>
        <w:spacing w:line="560" w:lineRule="exact"/>
        <w:ind w:firstLine="640" w:firstLineChars="200"/>
        <w:rPr>
          <w:rFonts w:ascii="仿宋" w:hAnsi="仿宋" w:eastAsia="仿宋" w:cs="仿宋"/>
          <w:sz w:val="32"/>
          <w:szCs w:val="32"/>
          <w:u w:val="single"/>
        </w:rPr>
      </w:pPr>
      <w:r>
        <w:rPr>
          <w:rFonts w:ascii="仿宋" w:hAnsi="仿宋" w:eastAsia="仿宋" w:cs="仿宋"/>
          <w:sz w:val="32"/>
          <w:szCs w:val="32"/>
          <w:u w:val="single"/>
        </w:rPr>
        <w:t>2</w:t>
      </w:r>
      <w:r>
        <w:rPr>
          <w:rFonts w:hint="eastAsia" w:ascii="仿宋" w:hAnsi="仿宋" w:eastAsia="仿宋" w:cs="仿宋"/>
          <w:sz w:val="32"/>
          <w:szCs w:val="32"/>
          <w:u w:val="single"/>
        </w:rPr>
        <w:t>、询问笔录，证明当事人诊所使用的医疗器械未按照医疗器械说明书要求贮存的事实情况</w:t>
      </w:r>
      <w:r>
        <w:rPr>
          <w:rFonts w:ascii="仿宋" w:hAnsi="仿宋" w:eastAsia="仿宋" w:cs="仿宋"/>
          <w:sz w:val="32"/>
          <w:szCs w:val="32"/>
          <w:u w:val="single"/>
        </w:rPr>
        <w:t>;</w:t>
      </w:r>
    </w:p>
    <w:p>
      <w:pPr>
        <w:spacing w:line="560" w:lineRule="exact"/>
        <w:ind w:firstLine="640" w:firstLineChars="200"/>
        <w:rPr>
          <w:rFonts w:ascii="仿宋" w:hAnsi="仿宋" w:eastAsia="仿宋" w:cs="仿宋"/>
          <w:sz w:val="32"/>
          <w:szCs w:val="32"/>
          <w:u w:val="single"/>
        </w:rPr>
      </w:pPr>
      <w:r>
        <w:rPr>
          <w:rFonts w:ascii="仿宋" w:hAnsi="仿宋" w:eastAsia="仿宋" w:cs="仿宋"/>
          <w:sz w:val="32"/>
          <w:szCs w:val="32"/>
          <w:u w:val="single"/>
        </w:rPr>
        <w:t>3</w:t>
      </w:r>
      <w:r>
        <w:rPr>
          <w:rFonts w:hint="eastAsia" w:ascii="仿宋" w:hAnsi="仿宋" w:eastAsia="仿宋" w:cs="仿宋"/>
          <w:sz w:val="32"/>
          <w:szCs w:val="32"/>
          <w:u w:val="single"/>
        </w:rPr>
        <w:t>、当事人营业执照（复印件）、《诊所备案凭证》（复印件）、身份证（复印件），证明当事人的身份及资质；</w:t>
      </w:r>
    </w:p>
    <w:p>
      <w:pPr>
        <w:spacing w:line="560" w:lineRule="exact"/>
        <w:ind w:firstLine="640" w:firstLineChars="200"/>
        <w:rPr>
          <w:rFonts w:ascii="仿宋" w:hAnsi="仿宋" w:eastAsia="仿宋" w:cs="仿宋"/>
          <w:sz w:val="32"/>
          <w:szCs w:val="32"/>
          <w:u w:val="single"/>
        </w:rPr>
      </w:pPr>
      <w:r>
        <w:rPr>
          <w:rFonts w:ascii="仿宋" w:hAnsi="仿宋" w:eastAsia="仿宋" w:cs="仿宋"/>
          <w:sz w:val="32"/>
          <w:szCs w:val="32"/>
          <w:u w:val="single"/>
        </w:rPr>
        <w:t>4</w:t>
      </w:r>
      <w:r>
        <w:rPr>
          <w:rFonts w:hint="eastAsia" w:ascii="仿宋" w:hAnsi="仿宋" w:eastAsia="仿宋" w:cs="仿宋"/>
          <w:sz w:val="32"/>
          <w:szCs w:val="32"/>
          <w:u w:val="single"/>
        </w:rPr>
        <w:t>、索证索票，证明当事人使用的</w:t>
      </w:r>
      <w:r>
        <w:rPr>
          <w:rFonts w:ascii="仿宋" w:hAnsi="仿宋" w:eastAsia="仿宋" w:cs="仿宋"/>
          <w:sz w:val="32"/>
          <w:szCs w:val="32"/>
          <w:u w:val="single"/>
        </w:rPr>
        <w:t>“</w:t>
      </w:r>
      <w:r>
        <w:rPr>
          <w:rFonts w:hint="eastAsia" w:ascii="仿宋" w:hAnsi="仿宋" w:eastAsia="仿宋" w:cs="仿宋"/>
          <w:sz w:val="32"/>
          <w:szCs w:val="32"/>
          <w:u w:val="single"/>
        </w:rPr>
        <w:t>光固化玻璃离子水门汀（富士Ⅱ、</w:t>
      </w:r>
      <w:r>
        <w:rPr>
          <w:rFonts w:ascii="仿宋" w:hAnsi="仿宋" w:eastAsia="仿宋" w:cs="仿宋"/>
          <w:sz w:val="32"/>
          <w:szCs w:val="32"/>
          <w:u w:val="single"/>
        </w:rPr>
        <w:t>LC</w:t>
      </w:r>
      <w:r>
        <w:rPr>
          <w:rFonts w:hint="eastAsia" w:ascii="仿宋" w:hAnsi="仿宋" w:eastAsia="仿宋" w:cs="仿宋"/>
          <w:sz w:val="32"/>
          <w:szCs w:val="32"/>
          <w:u w:val="single"/>
        </w:rPr>
        <w:t>）</w:t>
      </w:r>
      <w:r>
        <w:rPr>
          <w:rFonts w:ascii="仿宋" w:hAnsi="仿宋" w:eastAsia="仿宋" w:cs="仿宋"/>
          <w:sz w:val="32"/>
          <w:szCs w:val="32"/>
          <w:u w:val="single"/>
        </w:rPr>
        <w:t>”</w:t>
      </w:r>
      <w:r>
        <w:rPr>
          <w:rFonts w:hint="eastAsia" w:ascii="仿宋" w:hAnsi="仿宋" w:eastAsia="仿宋" w:cs="仿宋"/>
          <w:sz w:val="32"/>
          <w:szCs w:val="32"/>
          <w:u w:val="single"/>
        </w:rPr>
        <w:t>医疗器械来源合法。</w:t>
      </w:r>
    </w:p>
    <w:p>
      <w:pPr>
        <w:rPr>
          <w:rFonts w:ascii="仿宋" w:hAnsi="仿宋" w:eastAsia="仿宋" w:cs="仿宋"/>
          <w:sz w:val="32"/>
          <w:szCs w:val="32"/>
          <w:u w:val="single"/>
        </w:rPr>
      </w:pPr>
      <w:r>
        <w:rPr>
          <w:rFonts w:hint="eastAsia" w:ascii="仿宋" w:hAnsi="仿宋" w:eastAsia="仿宋" w:cs="仿宋"/>
          <w:sz w:val="32"/>
          <w:szCs w:val="32"/>
          <w:u w:val="single"/>
        </w:rPr>
        <w:t>2024年9月24日，向当事人直接送达《行政处罚告知书》（晋市监处罚〔2024〕第19-150号），当事人未在法定期限内提出陈述或申辩。</w:t>
      </w:r>
    </w:p>
    <w:p>
      <w:pPr>
        <w:spacing w:line="56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本局认为，</w:t>
      </w:r>
      <w:r>
        <w:rPr>
          <w:rFonts w:hint="eastAsia" w:ascii="仿宋" w:hAnsi="仿宋" w:eastAsia="仿宋" w:cs="仿宋"/>
          <w:sz w:val="32"/>
          <w:szCs w:val="32"/>
          <w:u w:val="single"/>
        </w:rPr>
        <w:t>当事人使用的“光固化玻璃离子水门汀（富士Ⅱ、</w:t>
      </w:r>
      <w:r>
        <w:rPr>
          <w:rFonts w:ascii="仿宋" w:hAnsi="仿宋" w:eastAsia="仿宋" w:cs="仿宋"/>
          <w:sz w:val="32"/>
          <w:szCs w:val="32"/>
          <w:u w:val="single"/>
        </w:rPr>
        <w:t>LC</w:t>
      </w:r>
      <w:r>
        <w:rPr>
          <w:rFonts w:hint="eastAsia" w:ascii="仿宋" w:hAnsi="仿宋" w:eastAsia="仿宋" w:cs="仿宋"/>
          <w:sz w:val="32"/>
          <w:szCs w:val="32"/>
          <w:u w:val="single"/>
        </w:rPr>
        <w:t xml:space="preserve">）”随意堆放，未对该医疗器械加强管理的行为，违反了《医疗器械监督管理条例》第四十七条之规定，构成使用的医疗器械未按照医疗器械说明书要求贮存的违法行为。 </w:t>
      </w:r>
    </w:p>
    <w:p>
      <w:pPr>
        <w:spacing w:line="560" w:lineRule="exact"/>
        <w:ind w:firstLine="640" w:firstLineChars="200"/>
        <w:rPr>
          <w:rFonts w:ascii="仿宋" w:hAnsi="仿宋" w:eastAsia="仿宋" w:cs="仿宋"/>
          <w:sz w:val="32"/>
          <w:szCs w:val="32"/>
          <w:u w:val="single"/>
        </w:rPr>
      </w:pPr>
      <w:r>
        <w:rPr>
          <w:rFonts w:hint="eastAsia" w:ascii="仿宋" w:hAnsi="仿宋" w:eastAsia="仿宋" w:cs="仿宋"/>
          <w:sz w:val="32"/>
          <w:szCs w:val="32"/>
          <w:u w:val="single"/>
        </w:rPr>
        <w:t>鉴于当事人积极配合药品监督管理部门调查并主动提供证据材料，属于《福建省药品监管行政处罚裁量适用细则》第十一条第二项规定的从轻情节，适用《福建省医疗器械行政处罚裁量基准（试行）》</w:t>
      </w:r>
      <w:r>
        <w:rPr>
          <w:rFonts w:ascii="仿宋" w:hAnsi="仿宋" w:eastAsia="仿宋" w:cs="仿宋"/>
          <w:sz w:val="32"/>
          <w:szCs w:val="32"/>
          <w:u w:val="single"/>
        </w:rPr>
        <w:t>QX-18</w:t>
      </w:r>
      <w:r>
        <w:rPr>
          <w:rFonts w:hint="eastAsia" w:ascii="仿宋" w:hAnsi="仿宋" w:eastAsia="仿宋" w:cs="仿宋"/>
          <w:sz w:val="32"/>
          <w:szCs w:val="32"/>
          <w:u w:val="single"/>
        </w:rPr>
        <w:t xml:space="preserve">予以从轻行政处罚。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综上，当事人上述行为违反了</w:t>
      </w:r>
      <w:r>
        <w:rPr>
          <w:rFonts w:hint="eastAsia" w:ascii="仿宋" w:hAnsi="仿宋" w:eastAsia="仿宋" w:cs="仿宋"/>
          <w:sz w:val="32"/>
          <w:szCs w:val="32"/>
          <w:u w:val="single"/>
        </w:rPr>
        <w:t>《医疗器械监督管理条例》第四十七条之规定，</w:t>
      </w:r>
      <w:r>
        <w:rPr>
          <w:rFonts w:hint="eastAsia" w:ascii="仿宋" w:hAnsi="仿宋" w:eastAsia="仿宋" w:cs="仿宋"/>
          <w:sz w:val="32"/>
          <w:szCs w:val="32"/>
        </w:rPr>
        <w:t xml:space="preserve"> 依据</w:t>
      </w:r>
      <w:r>
        <w:rPr>
          <w:rFonts w:hint="eastAsia" w:ascii="仿宋" w:hAnsi="仿宋" w:eastAsia="仿宋" w:cs="仿宋"/>
          <w:sz w:val="32"/>
          <w:szCs w:val="32"/>
          <w:u w:val="single"/>
        </w:rPr>
        <w:t>《医疗器械监督管理条例》第八十八条第三项的规定，责令改正，</w:t>
      </w:r>
      <w:r>
        <w:rPr>
          <w:rFonts w:hint="eastAsia" w:ascii="仿宋" w:hAnsi="仿宋" w:eastAsia="仿宋" w:cs="仿宋"/>
          <w:sz w:val="32"/>
          <w:szCs w:val="32"/>
        </w:rPr>
        <w:t>决定处罚如下：</w:t>
      </w:r>
    </w:p>
    <w:p>
      <w:pPr>
        <w:widowControl w:val="0"/>
        <w:kinsoku/>
        <w:autoSpaceDE/>
        <w:autoSpaceDN/>
        <w:spacing w:line="440" w:lineRule="exact"/>
        <w:ind w:firstLine="640" w:firstLineChars="200"/>
        <w:textAlignment w:val="auto"/>
        <w:rPr>
          <w:rFonts w:ascii="华文仿宋" w:hAnsi="华文仿宋" w:eastAsia="华文仿宋" w:cs="华文仿宋"/>
          <w:sz w:val="32"/>
          <w:szCs w:val="32"/>
        </w:rPr>
      </w:pPr>
      <w:r>
        <w:rPr>
          <w:rFonts w:hint="eastAsia" w:ascii="仿宋" w:hAnsi="仿宋" w:eastAsia="仿宋" w:cs="仿宋"/>
          <w:color w:val="231F20"/>
          <w:sz w:val="32"/>
          <w:szCs w:val="32"/>
        </w:rPr>
        <w:t>1．</w:t>
      </w:r>
      <w:r>
        <w:rPr>
          <w:rFonts w:hint="eastAsia" w:ascii="仿宋_GB2312" w:hAnsi="宋体" w:eastAsia="仿宋_GB2312" w:cs="仿宋_GB2312"/>
          <w:sz w:val="32"/>
          <w:szCs w:val="32"/>
        </w:rPr>
        <w:t>处以罚款壹万零伍佰元（10500元）。</w:t>
      </w:r>
    </w:p>
    <w:p>
      <w:pPr>
        <w:spacing w:line="560" w:lineRule="exact"/>
        <w:ind w:firstLine="640" w:firstLineChars="200"/>
        <w:rPr>
          <w:rFonts w:ascii="仿宋" w:hAnsi="仿宋" w:eastAsia="仿宋" w:cs="仿宋"/>
          <w:sz w:val="32"/>
          <w:szCs w:val="32"/>
          <w:u w:val="single"/>
        </w:rPr>
      </w:pPr>
      <w:r>
        <w:rPr>
          <w:rFonts w:hint="eastAsia" w:ascii="仿宋" w:hAnsi="仿宋" w:eastAsia="仿宋" w:cs="仿宋"/>
          <w:sz w:val="32"/>
          <w:szCs w:val="32"/>
          <w:u w:val="single"/>
        </w:rPr>
        <w:t>以上款项合计处以罚款壹万零伍佰元（10500元）。当事人应当在接到本行政处罚决定书之日起十五日内，持</w:t>
      </w:r>
      <w:r>
        <w:rPr>
          <w:rFonts w:ascii="仿宋" w:hAnsi="仿宋" w:eastAsia="仿宋" w:cs="仿宋"/>
          <w:sz w:val="32"/>
          <w:szCs w:val="32"/>
          <w:u w:val="single"/>
        </w:rPr>
        <w:t>“</w:t>
      </w:r>
      <w:r>
        <w:rPr>
          <w:rFonts w:hint="eastAsia" w:ascii="仿宋" w:hAnsi="仿宋" w:eastAsia="仿宋" w:cs="仿宋"/>
          <w:sz w:val="32"/>
          <w:szCs w:val="32"/>
          <w:u w:val="single"/>
        </w:rPr>
        <w:t>福建省政府非税收入缴款通知书</w:t>
      </w:r>
      <w:r>
        <w:rPr>
          <w:rFonts w:ascii="仿宋" w:hAnsi="仿宋" w:eastAsia="仿宋" w:cs="仿宋"/>
          <w:sz w:val="32"/>
          <w:szCs w:val="32"/>
          <w:u w:val="single"/>
        </w:rPr>
        <w:t>”</w:t>
      </w:r>
      <w:r>
        <w:rPr>
          <w:rFonts w:hint="eastAsia" w:ascii="仿宋" w:hAnsi="仿宋" w:eastAsia="仿宋" w:cs="仿宋"/>
          <w:sz w:val="32"/>
          <w:szCs w:val="32"/>
          <w:u w:val="single"/>
        </w:rPr>
        <w:t>到银行缴纳罚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冻结的存款、汇款划拨抵缴罚款；（三）根据法律规定，采取其他行政强制执行方式；（四）依照《中华人民共和国行政强制法》的规定申请人民法院强制执行。</w:t>
      </w:r>
      <w:r>
        <w:rPr>
          <w:rFonts w:ascii="仿宋" w:hAnsi="仿宋" w:eastAsia="仿宋" w:cs="仿宋"/>
          <w:sz w:val="32"/>
          <w:szCs w:val="32"/>
          <w:u w:val="single"/>
        </w:rPr>
        <w:t xml:space="preserve">     </w:t>
      </w:r>
    </w:p>
    <w:p>
      <w:pPr>
        <w:spacing w:line="560" w:lineRule="exact"/>
        <w:ind w:firstLine="640" w:firstLineChars="200"/>
        <w:rPr>
          <w:rFonts w:ascii="仿宋" w:hAnsi="仿宋" w:eastAsia="仿宋" w:cs="仿宋"/>
          <w:sz w:val="32"/>
          <w:szCs w:val="32"/>
          <w:u w:val="single"/>
        </w:rPr>
      </w:pPr>
      <w:r>
        <w:rPr>
          <w:rFonts w:hint="eastAsia" w:ascii="仿宋" w:hAnsi="仿宋" w:eastAsia="仿宋" w:cs="仿宋"/>
          <w:sz w:val="32"/>
          <w:szCs w:val="32"/>
          <w:u w:val="single"/>
        </w:rPr>
        <w:t>如不服本处罚决定，可在接到本处罚决定书之日起六十日内向晋江市人民政府申请行政复议，也可以在</w:t>
      </w:r>
      <w:r>
        <w:rPr>
          <w:rFonts w:ascii="仿宋" w:hAnsi="仿宋" w:eastAsia="仿宋" w:cs="仿宋"/>
          <w:sz w:val="32"/>
          <w:szCs w:val="32"/>
          <w:u w:val="single"/>
        </w:rPr>
        <w:t>6</w:t>
      </w:r>
      <w:r>
        <w:rPr>
          <w:rFonts w:hint="eastAsia" w:ascii="仿宋" w:hAnsi="仿宋" w:eastAsia="仿宋" w:cs="仿宋"/>
          <w:sz w:val="32"/>
          <w:szCs w:val="32"/>
          <w:u w:val="single"/>
        </w:rPr>
        <w:t>个月内依法向人民法院提起行政诉讼。当事人申请行政复议或者提起行政诉讼期间，行政处罚不停止执行，法律、法规、规章另有规定的，从其规定。</w:t>
      </w:r>
      <w:r>
        <w:rPr>
          <w:rFonts w:ascii="仿宋" w:hAnsi="仿宋" w:eastAsia="仿宋" w:cs="仿宋"/>
          <w:sz w:val="32"/>
          <w:szCs w:val="32"/>
          <w:u w:val="single"/>
        </w:rPr>
        <w:t xml:space="preserve">   </w:t>
      </w:r>
    </w:p>
    <w:p>
      <w:pPr>
        <w:spacing w:line="279" w:lineRule="auto"/>
        <w:rPr>
          <w:rFonts w:ascii="Microsoft JhengHei" w:eastAsia="宋体"/>
          <w:color w:val="FF0000"/>
        </w:rPr>
      </w:pPr>
      <w:bookmarkStart w:id="0" w:name="thts1"/>
      <w:r>
        <w:rPr>
          <w:rFonts w:ascii="仿宋" w:hAnsi="仿宋" w:eastAsia="仿宋" w:cs="仿宋"/>
          <w:sz w:val="32"/>
        </w:rPr>
        <w:t xml:space="preserve"> </w:t>
      </w:r>
      <w:bookmarkEnd w:id="0"/>
    </w:p>
    <w:p>
      <w:pPr>
        <w:tabs>
          <w:tab w:val="left" w:pos="5667"/>
        </w:tabs>
        <w:wordWrap w:val="0"/>
        <w:bidi/>
        <w:spacing w:line="560" w:lineRule="exact"/>
        <w:ind w:right="840" w:rightChars="400"/>
        <w:rPr>
          <w:rFonts w:ascii="仿宋" w:hAnsi="仿宋" w:eastAsia="仿宋" w:cs="仿宋"/>
          <w:sz w:val="32"/>
          <w:szCs w:val="32"/>
        </w:rPr>
      </w:pPr>
      <w:r>
        <w:rPr>
          <w:rFonts w:hint="eastAsia" w:ascii="仿宋" w:hAnsi="仿宋" w:eastAsia="仿宋" w:cs="仿宋"/>
          <w:sz w:val="32"/>
          <w:szCs w:val="32"/>
        </w:rPr>
        <w:t>晋江市市场监督管理局</w:t>
      </w:r>
    </w:p>
    <w:p>
      <w:pPr>
        <w:tabs>
          <w:tab w:val="left" w:pos="5667"/>
        </w:tabs>
        <w:bidi/>
        <w:spacing w:line="40" w:lineRule="exact"/>
        <w:ind w:firstLine="1650" w:firstLineChars="1500"/>
        <w:rPr>
          <w:rFonts w:ascii="仿宋" w:hAnsi="仿宋" w:eastAsia="仿宋" w:cs="仿宋"/>
          <w:sz w:val="32"/>
          <w:szCs w:val="32"/>
        </w:rPr>
      </w:pPr>
      <w:r>
        <w:rPr>
          <w:rFonts w:ascii="仿宋" w:hAnsi="仿宋" w:eastAsia="仿宋" w:cs="仿宋"/>
          <w:color w:val="FFFFFF" w:themeColor="background1"/>
          <w:sz w:val="11"/>
          <w:szCs w:val="11"/>
          <w14:textFill>
            <w14:solidFill>
              <w14:schemeClr w14:val="bg1"/>
            </w14:solidFill>
          </w14:textFill>
        </w:rPr>
        <w:t>（</w:t>
      </w:r>
      <w:r>
        <w:rPr>
          <w:rFonts w:hint="eastAsia" w:ascii="仿宋" w:hAnsi="仿宋" w:eastAsia="仿宋" w:cs="仿宋"/>
          <w:color w:val="FFFFFF" w:themeColor="background1"/>
          <w:sz w:val="11"/>
          <w:szCs w:val="11"/>
          <w14:textFill>
            <w14:solidFill>
              <w14:schemeClr w14:val="bg1"/>
            </w14:solidFill>
          </w14:textFill>
        </w:rPr>
        <w:t>sealdwy</w:t>
      </w:r>
      <w:r>
        <w:rPr>
          <w:rFonts w:ascii="仿宋" w:hAnsi="仿宋" w:eastAsia="仿宋" w:cs="仿宋"/>
          <w:color w:val="FFFFFF" w:themeColor="background1"/>
          <w:sz w:val="11"/>
          <w:szCs w:val="11"/>
          <w14:textFill>
            <w14:solidFill>
              <w14:schemeClr w14:val="bg1"/>
            </w14:solidFill>
          </w14:textFill>
        </w:rPr>
        <w:t>）</w:t>
      </w:r>
    </w:p>
    <w:p>
      <w:pPr>
        <w:wordWrap w:val="0"/>
        <w:bidi/>
        <w:spacing w:line="560" w:lineRule="exact"/>
        <w:ind w:right="840" w:rightChars="400"/>
        <w:rPr>
          <w:rFonts w:ascii="仿宋" w:hAnsi="仿宋" w:eastAsia="仿宋" w:cs="仿宋"/>
          <w:sz w:val="32"/>
          <w:szCs w:val="32"/>
        </w:rPr>
      </w:pPr>
      <w:r>
        <w:rPr>
          <w:rFonts w:hint="eastAsia" w:ascii="仿宋" w:hAnsi="仿宋" w:eastAsia="仿宋" w:cs="仿宋"/>
          <w:sz w:val="32"/>
          <w:szCs w:val="32"/>
        </w:rPr>
        <w:t>2024年10月08日</w:t>
      </w:r>
    </w:p>
    <w:p>
      <w:pPr>
        <w:spacing w:line="279" w:lineRule="auto"/>
        <w:rPr>
          <w:rFonts w:ascii="Microsoft JhengHei" w:eastAsia="宋体"/>
          <w:color w:val="FF0000"/>
        </w:rPr>
      </w:pPr>
      <w:bookmarkStart w:id="1" w:name="thts2"/>
      <w:r>
        <w:rPr>
          <w:rFonts w:ascii="仿宋" w:hAnsi="仿宋" w:eastAsia="仿宋" w:cs="仿宋"/>
          <w:sz w:val="32"/>
        </w:rPr>
        <w:t xml:space="preserve"> </w:t>
      </w:r>
      <w:bookmarkEnd w:id="1"/>
    </w:p>
    <w:p>
      <w:pPr>
        <w:spacing w:before="105" w:line="183" w:lineRule="auto"/>
        <w:ind w:firstLine="403"/>
        <w:jc w:val="center"/>
        <w:rPr>
          <w:rFonts w:ascii="仿宋" w:hAnsi="仿宋" w:eastAsia="仿宋" w:cs="仿宋"/>
          <w:b/>
          <w:bCs/>
          <w:sz w:val="28"/>
          <w:szCs w:val="28"/>
        </w:rPr>
      </w:pPr>
      <w:r>
        <w:rPr>
          <w:rFonts w:hint="eastAsia" w:ascii="仿宋" w:hAnsi="仿宋" w:eastAsia="仿宋" w:cs="仿宋"/>
          <w:b/>
          <w:bCs/>
          <w:sz w:val="28"/>
          <w:szCs w:val="28"/>
        </w:rPr>
        <w:t>（市场监督管理部门将依法向社会公开行政处罚决定信息）</w:t>
      </w:r>
    </w:p>
    <w:p>
      <w:pPr>
        <w:spacing w:line="26" w:lineRule="exact"/>
        <w:textAlignment w:val="center"/>
      </w:pPr>
      <w:r>
        <w:drawing>
          <wp:inline distT="0" distB="0" distL="0" distR="0">
            <wp:extent cx="5550535" cy="15875"/>
            <wp:effectExtent l="0" t="0" r="0" b="0"/>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pPr>
        <w:spacing w:before="106" w:line="183" w:lineRule="auto"/>
        <w:ind w:firstLine="231"/>
      </w:pPr>
      <w:r>
        <w:rPr>
          <w:rFonts w:ascii="仿宋" w:hAnsi="仿宋" w:eastAsia="仿宋" w:cs="仿宋"/>
          <w:sz w:val="32"/>
          <w:szCs w:val="32"/>
        </w:rPr>
        <w:t>本文书一式</w:t>
      </w:r>
      <w:r>
        <w:rPr>
          <w:rFonts w:hint="eastAsia" w:ascii="仿宋" w:hAnsi="仿宋" w:eastAsia="仿宋" w:cs="仿宋"/>
          <w:sz w:val="32"/>
          <w:szCs w:val="32"/>
        </w:rPr>
        <w:t>二</w:t>
      </w:r>
      <w:r>
        <w:rPr>
          <w:rFonts w:ascii="仿宋" w:hAnsi="仿宋" w:eastAsia="仿宋" w:cs="仿宋"/>
          <w:sz w:val="32"/>
          <w:szCs w:val="32"/>
        </w:rPr>
        <w:t>份，</w:t>
      </w:r>
      <w:r>
        <w:rPr>
          <w:rFonts w:hint="eastAsia" w:ascii="仿宋" w:hAnsi="仿宋" w:eastAsia="仿宋" w:cs="仿宋"/>
          <w:sz w:val="32"/>
          <w:szCs w:val="32"/>
        </w:rPr>
        <w:t>一</w:t>
      </w:r>
      <w:r>
        <w:rPr>
          <w:rFonts w:ascii="仿宋" w:hAnsi="仿宋" w:eastAsia="仿宋" w:cs="仿宋"/>
          <w:sz w:val="32"/>
          <w:szCs w:val="32"/>
        </w:rPr>
        <w:t>份送达，</w:t>
      </w:r>
      <w:r>
        <w:rPr>
          <w:rFonts w:hint="eastAsia" w:ascii="仿宋" w:hAnsi="仿宋" w:eastAsia="仿宋" w:cs="仿宋"/>
          <w:sz w:val="32"/>
          <w:szCs w:val="32"/>
        </w:rPr>
        <w:t>一</w:t>
      </w:r>
      <w:r>
        <w:rPr>
          <w:rFonts w:ascii="仿宋" w:hAnsi="仿宋" w:eastAsia="仿宋" w:cs="仿宋"/>
          <w:sz w:val="32"/>
          <w:szCs w:val="32"/>
        </w:rPr>
        <w:t>份归档</w:t>
      </w:r>
      <w:r>
        <w:rPr>
          <w:rFonts w:hint="eastAsia" w:ascii="仿宋" w:hAnsi="仿宋" w:eastAsia="仿宋" w:cs="仿宋"/>
          <w:sz w:val="32"/>
          <w:szCs w:val="32"/>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62677"/>
    <w:rsid w:val="16262677"/>
    <w:rsid w:val="68E8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199" w:lineRule="auto"/>
      <w:jc w:val="center"/>
      <w:outlineLvl w:val="0"/>
    </w:pPr>
    <w:rPr>
      <w:rFonts w:ascii="Microsoft JhengHei" w:hAnsi="Microsoft JhengHei" w:eastAsia="Microsoft JhengHei" w:cs="Microsoft JhengHei"/>
      <w:spacing w:val="-2"/>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2024-11-29T07:52:00Z</dcterms:created>
  <dc:creator>qzjj-xb01</dc:creator>
  <cp:lastModifiedBy>施婉弘</cp:lastModifiedBy>
  <dcterms:modified xsi:type="dcterms:W3CDTF">2024-12-04T07:20:00Z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241E1B6C790E418784806F5ED66B38B9</vt:lpwstr>
  </property>
</Properties>
</file>